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B5502">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9B5502">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1C6DF6" w:rsidRDefault="000F3249">
      <w:pPr>
        <w:pBdr>
          <w:top w:val="nil"/>
          <w:left w:val="nil"/>
          <w:bottom w:val="nil"/>
          <w:right w:val="nil"/>
          <w:between w:val="nil"/>
        </w:pBdr>
        <w:spacing w:after="0" w:line="240" w:lineRule="auto"/>
        <w:jc w:val="both"/>
        <w:rPr>
          <w:rFonts w:ascii="Arial" w:eastAsia="Arial" w:hAnsi="Arial" w:cs="Arial"/>
          <w:b/>
          <w:color w:val="000000"/>
        </w:rPr>
      </w:pPr>
      <w:r w:rsidRPr="001C6DF6">
        <w:rPr>
          <w:rFonts w:ascii="Arial" w:eastAsia="Arial" w:hAnsi="Arial" w:cs="Arial"/>
          <w:b/>
          <w:color w:val="000000"/>
        </w:rPr>
        <w:t xml:space="preserve">TEXTO DEFINITIVO APROBADO EN PRIMER DEBATE DEL </w:t>
      </w:r>
      <w:r w:rsidRPr="001C6DF6">
        <w:rPr>
          <w:rFonts w:ascii="Arial" w:eastAsia="Arial" w:hAnsi="Arial" w:cs="Arial"/>
          <w:b/>
        </w:rPr>
        <w:t xml:space="preserve">PROYECTO DE LEY </w:t>
      </w:r>
      <w:r w:rsidR="000E7F9D" w:rsidRPr="00CA7C2A">
        <w:rPr>
          <w:rFonts w:ascii="Arial" w:hAnsi="Arial" w:cs="Arial"/>
          <w:b/>
          <w:bCs/>
          <w:lang w:val="es-ES"/>
        </w:rPr>
        <w:t>No. 204 DE 2024 CÁMARA “POR MEDIO DEL CUAL SE CREA LA LICENCIA MENSTRUAL Y SE ESTABLECEN LINEAMIENTOS PARA UNA POLÍTICA PÚBLICA QUE PROMUEVA, SENSIBILICE Y EJECUTE PLANES DE ACCIÓN SOBRE LA PROTECCIÓN DE LOS DERECHOS MENSTRUALES Y SE DICTAN OTRAS DISPOSICIONES”.</w:t>
      </w:r>
    </w:p>
    <w:p w:rsidR="00931B69" w:rsidRPr="001C6DF6" w:rsidRDefault="00931B69" w:rsidP="009A5477">
      <w:pPr>
        <w:pStyle w:val="Sinespaciado"/>
        <w:jc w:val="center"/>
        <w:rPr>
          <w:rFonts w:cs="Arial"/>
        </w:rPr>
      </w:pPr>
    </w:p>
    <w:p w:rsidR="00900D93" w:rsidRPr="001C6DF6" w:rsidRDefault="000F3249" w:rsidP="009A5477">
      <w:pPr>
        <w:pStyle w:val="Sinespaciado"/>
        <w:jc w:val="center"/>
        <w:rPr>
          <w:rFonts w:cs="Arial"/>
        </w:rPr>
      </w:pPr>
      <w:r w:rsidRPr="001C6DF6">
        <w:rPr>
          <w:rFonts w:cs="Arial"/>
        </w:rPr>
        <w:t>(Aprobado en la</w:t>
      </w:r>
      <w:r w:rsidR="00722B7D" w:rsidRPr="001C6DF6">
        <w:rPr>
          <w:rFonts w:cs="Arial"/>
        </w:rPr>
        <w:t xml:space="preserve"> sesión</w:t>
      </w:r>
      <w:r w:rsidR="00874E4E" w:rsidRPr="001C6DF6">
        <w:rPr>
          <w:rFonts w:cs="Arial"/>
        </w:rPr>
        <w:t xml:space="preserve"> presencial </w:t>
      </w:r>
      <w:r w:rsidR="00722B7D" w:rsidRPr="001C6DF6">
        <w:rPr>
          <w:rFonts w:cs="Arial"/>
        </w:rPr>
        <w:t>del</w:t>
      </w:r>
      <w:r w:rsidR="00874E4E" w:rsidRPr="001C6DF6">
        <w:rPr>
          <w:rFonts w:cs="Arial"/>
        </w:rPr>
        <w:t xml:space="preserve"> </w:t>
      </w:r>
      <w:r w:rsidR="00B13470">
        <w:rPr>
          <w:rFonts w:cs="Arial"/>
        </w:rPr>
        <w:t>2</w:t>
      </w:r>
      <w:r w:rsidR="00856BE4" w:rsidRPr="001C6DF6">
        <w:rPr>
          <w:rFonts w:cs="Arial"/>
        </w:rPr>
        <w:t xml:space="preserve"> de abril </w:t>
      </w:r>
      <w:r w:rsidR="00344B4D" w:rsidRPr="001C6DF6">
        <w:rPr>
          <w:rFonts w:cs="Arial"/>
        </w:rPr>
        <w:t>de 202</w:t>
      </w:r>
      <w:r w:rsidR="00D7787B" w:rsidRPr="001C6DF6">
        <w:rPr>
          <w:rFonts w:cs="Arial"/>
        </w:rPr>
        <w:t>5</w:t>
      </w:r>
      <w:r w:rsidR="009A5477" w:rsidRPr="001C6DF6">
        <w:rPr>
          <w:rFonts w:cs="Arial"/>
        </w:rPr>
        <w:t xml:space="preserve">, Comisión VII Constitucional </w:t>
      </w:r>
      <w:r w:rsidRPr="001C6DF6">
        <w:rPr>
          <w:rFonts w:cs="Arial"/>
        </w:rPr>
        <w:t xml:space="preserve">Permanente de la H. Cámara de Representantes, </w:t>
      </w:r>
      <w:r w:rsidR="009A5477" w:rsidRPr="001C6DF6">
        <w:rPr>
          <w:rFonts w:cs="Arial"/>
        </w:rPr>
        <w:t>a</w:t>
      </w:r>
      <w:r w:rsidRPr="001C6DF6">
        <w:rPr>
          <w:rFonts w:cs="Arial"/>
        </w:rPr>
        <w:t xml:space="preserve">cta No. </w:t>
      </w:r>
      <w:r w:rsidR="00874E4E" w:rsidRPr="001C6DF6">
        <w:rPr>
          <w:rFonts w:cs="Arial"/>
        </w:rPr>
        <w:t>2</w:t>
      </w:r>
      <w:r w:rsidR="00B13470">
        <w:rPr>
          <w:rFonts w:cs="Arial"/>
        </w:rPr>
        <w:t>5</w:t>
      </w:r>
      <w:r w:rsidRPr="001C6DF6">
        <w:rPr>
          <w:rFonts w:cs="Arial"/>
        </w:rPr>
        <w:t>)</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EL CONGRESO DE COLOMBIA</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DECRETA:</w:t>
      </w:r>
    </w:p>
    <w:p w:rsidR="00D410FE" w:rsidRPr="001C6DF6" w:rsidRDefault="00D410FE" w:rsidP="00D410FE">
      <w:pPr>
        <w:pStyle w:val="Sinespaciado"/>
        <w:spacing w:line="240" w:lineRule="atLeast"/>
      </w:pPr>
    </w:p>
    <w:p w:rsidR="000E7F9D" w:rsidRDefault="000E7F9D" w:rsidP="000E7F9D">
      <w:pPr>
        <w:spacing w:line="240" w:lineRule="atLeast"/>
        <w:jc w:val="both"/>
        <w:rPr>
          <w:rFonts w:ascii="Arial Narrow" w:eastAsia="Arial Narrow" w:hAnsi="Arial Narrow" w:cs="Arial Narrow"/>
        </w:rPr>
      </w:pPr>
      <w:r>
        <w:rPr>
          <w:rFonts w:ascii="Arial" w:eastAsia="Arial" w:hAnsi="Arial" w:cs="Arial"/>
          <w:b/>
        </w:rPr>
        <w:t>Artículo 1°. Objeto.</w:t>
      </w:r>
      <w:r>
        <w:rPr>
          <w:rFonts w:ascii="Arial" w:eastAsia="Arial" w:hAnsi="Arial" w:cs="Arial"/>
        </w:rPr>
        <w:t xml:space="preserve"> La presente ley tiene por objeto la creación de la licencia menstrual obligatoria con la intención de promover y garantizar el bienestar, la salud y la dignidad menstrual, estableciendo principios, contenidos y disposiciones de la Política Pública para la garantía del ejercicio y goce efectivo de los derechos menstruales de las mujeres y personas trabajadoras menstruantes en el territorio nacional.</w:t>
      </w:r>
    </w:p>
    <w:p w:rsidR="000E7F9D" w:rsidRPr="000E7F9D" w:rsidRDefault="000E7F9D" w:rsidP="000E7F9D">
      <w:pPr>
        <w:pStyle w:val="Sinespaciado"/>
        <w:jc w:val="center"/>
        <w:rPr>
          <w:b/>
        </w:rPr>
      </w:pPr>
      <w:r w:rsidRPr="000E7F9D">
        <w:rPr>
          <w:b/>
        </w:rPr>
        <w:t>TITULO I.</w:t>
      </w:r>
    </w:p>
    <w:p w:rsidR="000E7F9D" w:rsidRDefault="000E7F9D" w:rsidP="000E7F9D">
      <w:pPr>
        <w:pStyle w:val="Sinespaciado"/>
        <w:jc w:val="center"/>
        <w:rPr>
          <w:b/>
        </w:rPr>
      </w:pPr>
      <w:r w:rsidRPr="000E7F9D">
        <w:rPr>
          <w:b/>
        </w:rPr>
        <w:t>DISPOSICIONES GENERALES</w:t>
      </w:r>
    </w:p>
    <w:p w:rsidR="000E7F9D" w:rsidRDefault="000E7F9D" w:rsidP="000E7F9D">
      <w:pPr>
        <w:pStyle w:val="Sinespaciado"/>
        <w:jc w:val="center"/>
        <w:rPr>
          <w:b/>
        </w:rPr>
      </w:pPr>
    </w:p>
    <w:p w:rsidR="000E7F9D" w:rsidRDefault="000E7F9D" w:rsidP="000E7F9D">
      <w:pPr>
        <w:spacing w:line="240" w:lineRule="atLeast"/>
        <w:jc w:val="both"/>
        <w:rPr>
          <w:rFonts w:ascii="Arial" w:eastAsia="Arial" w:hAnsi="Arial" w:cs="Arial"/>
          <w:b/>
        </w:rPr>
      </w:pPr>
      <w:r>
        <w:rPr>
          <w:rFonts w:ascii="Arial" w:eastAsia="Arial" w:hAnsi="Arial" w:cs="Arial"/>
          <w:b/>
        </w:rPr>
        <w:t xml:space="preserve">Artículo 2°. Principios. </w:t>
      </w:r>
      <w:r>
        <w:rPr>
          <w:rFonts w:ascii="Arial" w:eastAsia="Arial" w:hAnsi="Arial" w:cs="Arial"/>
        </w:rPr>
        <w:t>La presente ley se rige por los siguientes principios orientadores.</w:t>
      </w:r>
    </w:p>
    <w:p w:rsidR="000E7F9D" w:rsidRDefault="000E7F9D" w:rsidP="000E7F9D">
      <w:pPr>
        <w:spacing w:line="240" w:lineRule="atLeast"/>
        <w:jc w:val="both"/>
        <w:rPr>
          <w:rFonts w:ascii="Arial" w:eastAsia="Arial" w:hAnsi="Arial" w:cs="Arial"/>
        </w:rPr>
      </w:pPr>
      <w:r>
        <w:rPr>
          <w:rFonts w:ascii="Arial" w:eastAsia="Arial" w:hAnsi="Arial" w:cs="Arial"/>
          <w:b/>
        </w:rPr>
        <w:t xml:space="preserve">Dignidad menstrual: </w:t>
      </w:r>
      <w:r>
        <w:rPr>
          <w:rFonts w:ascii="Arial" w:eastAsia="Arial" w:hAnsi="Arial" w:cs="Arial"/>
        </w:rPr>
        <w:t>Todas las personas tienen derecho a que el Estado y los actores que conforman el conglomerado social colombiano, respeten su dignidad humana y establezca mecanismos para su protección, la menstruación está intrínsecamente relacionada con la dignidad humana lo que implica posicionar la menstruación como un tema vinculado a los derechos humanos.</w:t>
      </w:r>
    </w:p>
    <w:p w:rsidR="000E7F9D" w:rsidRDefault="000E7F9D" w:rsidP="000E7F9D">
      <w:pPr>
        <w:spacing w:line="240" w:lineRule="atLeast"/>
        <w:jc w:val="both"/>
        <w:rPr>
          <w:rFonts w:ascii="Arial" w:eastAsia="Arial" w:hAnsi="Arial" w:cs="Arial"/>
        </w:rPr>
      </w:pPr>
      <w:r>
        <w:rPr>
          <w:rFonts w:ascii="Arial" w:eastAsia="Arial" w:hAnsi="Arial" w:cs="Arial"/>
          <w:b/>
        </w:rPr>
        <w:t xml:space="preserve">Equidad menstrual: </w:t>
      </w:r>
      <w:r>
        <w:rPr>
          <w:rFonts w:ascii="Arial" w:eastAsia="Arial" w:hAnsi="Arial" w:cs="Arial"/>
        </w:rPr>
        <w:t>Toda niña, joven, mujer o persona menstruante tiene derecho a un trato igualitario y no discriminatorio por su condición biológica natural de menstruar.</w:t>
      </w:r>
    </w:p>
    <w:p w:rsidR="000E7F9D" w:rsidRDefault="000E7F9D" w:rsidP="000E7F9D">
      <w:pPr>
        <w:spacing w:line="240" w:lineRule="atLeast"/>
        <w:jc w:val="both"/>
        <w:rPr>
          <w:rFonts w:ascii="Arial Narrow" w:eastAsia="Arial Narrow" w:hAnsi="Arial Narrow" w:cs="Arial Narrow"/>
        </w:rPr>
      </w:pPr>
      <w:r>
        <w:rPr>
          <w:rFonts w:ascii="Arial" w:eastAsia="Arial" w:hAnsi="Arial" w:cs="Arial"/>
          <w:b/>
        </w:rPr>
        <w:t xml:space="preserve">Artículo 3°. Derechos Menstruales. </w:t>
      </w:r>
      <w:r>
        <w:rPr>
          <w:rFonts w:ascii="Arial" w:eastAsia="Arial" w:hAnsi="Arial" w:cs="Arial"/>
        </w:rPr>
        <w:t>La menstruación es un tema de salud pública. Toda mujer o persona menstruante es titular de derechos menstruales a los cuales debe acceder de forma libre y equitativa para garantizar una vivencia menstrual enmarcada en el buen manejo de la gestión menstrual, la salud, el bienestar, la igualdad de género, la educación y su empoderamiento con respecto al ejercicio de sus derechos menstruales.</w:t>
      </w:r>
    </w:p>
    <w:p w:rsidR="000E7F9D" w:rsidRDefault="000E7F9D" w:rsidP="000E7F9D">
      <w:pPr>
        <w:spacing w:line="240" w:lineRule="atLeast"/>
        <w:jc w:val="both"/>
        <w:rPr>
          <w:rFonts w:ascii="Arial" w:eastAsia="Arial" w:hAnsi="Arial" w:cs="Arial"/>
        </w:rPr>
      </w:pPr>
      <w:r>
        <w:rPr>
          <w:rFonts w:ascii="Arial" w:eastAsia="Arial" w:hAnsi="Arial" w:cs="Arial"/>
          <w:b/>
        </w:rPr>
        <w:t xml:space="preserve">Artículo 4°. Reconocimiento de la menstruación como un proceso fisiológico natural que puede llegar a ser incapacitante. </w:t>
      </w:r>
      <w:r>
        <w:rPr>
          <w:rFonts w:ascii="Arial" w:eastAsia="Arial" w:hAnsi="Arial" w:cs="Arial"/>
        </w:rPr>
        <w:t>Se proclama que los efectos secundarios que acompañan el sangrado menstrual pueden reducir temporalmente la autonomía de las mujeres y personas menstruantes para ejercer con normalidad las actividades propias de la cotidianidad, afectando en forma negativa y directa su calidad de vida en el ámbito laboral, por lo cual están en toda la libertad de hacer uso o no del derecho a la licencia menstrual de un día por mes calendario.</w:t>
      </w:r>
    </w:p>
    <w:p w:rsidR="000E7F9D" w:rsidRDefault="000E7F9D" w:rsidP="000E7F9D">
      <w:pPr>
        <w:spacing w:line="240" w:lineRule="atLeast"/>
        <w:jc w:val="both"/>
        <w:rPr>
          <w:rFonts w:ascii="Arial" w:eastAsia="Arial" w:hAnsi="Arial" w:cs="Arial"/>
          <w:b/>
        </w:rPr>
      </w:pPr>
      <w:r>
        <w:rPr>
          <w:rFonts w:ascii="Arial" w:eastAsia="Arial" w:hAnsi="Arial" w:cs="Arial"/>
          <w:b/>
        </w:rPr>
        <w:lastRenderedPageBreak/>
        <w:t xml:space="preserve">Artículo 5°. No discriminación a mujeres y personas menstruantes. </w:t>
      </w:r>
      <w:r>
        <w:rPr>
          <w:rFonts w:ascii="Arial" w:eastAsia="Arial" w:hAnsi="Arial" w:cs="Arial"/>
        </w:rPr>
        <w:t>No se permite conducta o comportamiento de discriminación y exclusión a mujeres y personas menstruantes que quieran hacer uso efectivo de la licencia menstrual.</w:t>
      </w:r>
    </w:p>
    <w:p w:rsidR="000E7F9D" w:rsidRDefault="000E7F9D" w:rsidP="000E7F9D">
      <w:pPr>
        <w:spacing w:line="240" w:lineRule="atLeast"/>
        <w:jc w:val="both"/>
        <w:rPr>
          <w:rFonts w:ascii="Arial" w:eastAsia="Arial" w:hAnsi="Arial" w:cs="Arial"/>
        </w:rPr>
      </w:pPr>
      <w:r>
        <w:rPr>
          <w:rFonts w:ascii="Arial" w:eastAsia="Arial" w:hAnsi="Arial" w:cs="Arial"/>
          <w:b/>
        </w:rPr>
        <w:t xml:space="preserve">Artículo 6°. Protección de la intimidad y seguridad de mujeres y personas menstruantes. </w:t>
      </w:r>
      <w:r>
        <w:rPr>
          <w:rFonts w:ascii="Arial" w:eastAsia="Arial" w:hAnsi="Arial" w:cs="Arial"/>
        </w:rPr>
        <w:t>Es deber del sector público y privado velar y asistir a esta población ante cualquier exposición innecesaria que estigmaticen a las mujeres y personas menstruantes, bajo ninguna circunstancia, incluyendo, entre otras, las derivadas del acceso efectivo a su derecho a la licencia menstrual.</w:t>
      </w:r>
    </w:p>
    <w:p w:rsidR="000E7F9D" w:rsidRPr="000E7F9D" w:rsidRDefault="000E7F9D" w:rsidP="000E7F9D">
      <w:pPr>
        <w:pStyle w:val="Sinespaciado"/>
        <w:jc w:val="center"/>
        <w:rPr>
          <w:b/>
        </w:rPr>
      </w:pPr>
      <w:r w:rsidRPr="000E7F9D">
        <w:rPr>
          <w:b/>
        </w:rPr>
        <w:t>TÍTULO II.</w:t>
      </w:r>
    </w:p>
    <w:p w:rsidR="000E7F9D" w:rsidRDefault="000E7F9D" w:rsidP="000E7F9D">
      <w:pPr>
        <w:pStyle w:val="Sinespaciado"/>
        <w:jc w:val="center"/>
        <w:rPr>
          <w:b/>
        </w:rPr>
      </w:pPr>
      <w:r w:rsidRPr="000E7F9D">
        <w:rPr>
          <w:b/>
        </w:rPr>
        <w:t>MEDIDAS CONTRA LA DISCRIMINACIÓN LABORAL POR MOTIVOS DE GÉNERO COMO CONSECUENCIA DE LA MENSTRUACIÓN Y LA GARANTÍA DEL GOCE EFECTIVO DE LA LICENCIA MENSTRUAL.</w:t>
      </w:r>
    </w:p>
    <w:p w:rsidR="000E7F9D" w:rsidRPr="000E7F9D" w:rsidRDefault="000E7F9D" w:rsidP="000E7F9D">
      <w:pPr>
        <w:pStyle w:val="Sinespaciado"/>
        <w:jc w:val="center"/>
        <w:rPr>
          <w:b/>
        </w:rPr>
      </w:pPr>
    </w:p>
    <w:p w:rsidR="000E7F9D" w:rsidRDefault="000E7F9D" w:rsidP="000E7F9D">
      <w:pPr>
        <w:spacing w:line="240" w:lineRule="atLeast"/>
        <w:jc w:val="both"/>
        <w:rPr>
          <w:rFonts w:ascii="Arial" w:eastAsia="Arial" w:hAnsi="Arial" w:cs="Arial"/>
          <w:b/>
        </w:rPr>
      </w:pPr>
      <w:r>
        <w:rPr>
          <w:rFonts w:ascii="Arial" w:eastAsia="Arial" w:hAnsi="Arial" w:cs="Arial"/>
          <w:b/>
        </w:rPr>
        <w:t xml:space="preserve">Artículo 7°. </w:t>
      </w:r>
      <w:r>
        <w:rPr>
          <w:rFonts w:ascii="Arial" w:eastAsia="Arial" w:hAnsi="Arial" w:cs="Arial"/>
        </w:rPr>
        <w:t>Modifíquese el nombre del Capítulo V del Título VIII de la Primera Parte del Código Sustantivo de Trabajo, el cual quedará así:</w:t>
      </w:r>
    </w:p>
    <w:p w:rsidR="000E7F9D" w:rsidRDefault="000E7F9D" w:rsidP="000E7F9D">
      <w:pPr>
        <w:spacing w:line="240" w:lineRule="atLeast"/>
        <w:jc w:val="both"/>
        <w:rPr>
          <w:rFonts w:ascii="Arial" w:eastAsia="Arial" w:hAnsi="Arial" w:cs="Arial"/>
          <w:b/>
        </w:rPr>
      </w:pPr>
      <w:r>
        <w:rPr>
          <w:rFonts w:ascii="Arial" w:eastAsia="Arial" w:hAnsi="Arial" w:cs="Arial"/>
          <w:b/>
        </w:rPr>
        <w:t>PROTECCIÓN A LA MATERNIDAD, PROTECCIÓN DE MENORES Y PROTECCIÓN DE LOS DERECHOS MENSTRUALES.</w:t>
      </w:r>
    </w:p>
    <w:p w:rsidR="000E7F9D" w:rsidRDefault="000E7F9D" w:rsidP="000E7F9D">
      <w:pPr>
        <w:spacing w:line="240" w:lineRule="atLeast"/>
        <w:jc w:val="both"/>
        <w:rPr>
          <w:rFonts w:ascii="Arial" w:eastAsia="Arial" w:hAnsi="Arial" w:cs="Arial"/>
        </w:rPr>
      </w:pPr>
      <w:r>
        <w:rPr>
          <w:rFonts w:ascii="Arial" w:eastAsia="Arial" w:hAnsi="Arial" w:cs="Arial"/>
          <w:b/>
        </w:rPr>
        <w:t xml:space="preserve">Artículo 8°. </w:t>
      </w:r>
      <w:r>
        <w:rPr>
          <w:rFonts w:ascii="Arial" w:eastAsia="Arial" w:hAnsi="Arial" w:cs="Arial"/>
        </w:rPr>
        <w:t>Adiciónese el artículo 238A al Código Sustantivo de Trabajo, el cual quedará así:</w:t>
      </w:r>
    </w:p>
    <w:p w:rsidR="00681C5E" w:rsidRPr="00681C5E" w:rsidRDefault="000E7F9D" w:rsidP="00681C5E">
      <w:pPr>
        <w:spacing w:line="240" w:lineRule="atLeast"/>
        <w:jc w:val="both"/>
        <w:rPr>
          <w:rFonts w:ascii="Arial" w:eastAsia="Arial" w:hAnsi="Arial" w:cs="Arial"/>
          <w:color w:val="000000"/>
          <w:lang w:eastAsia="ja-JP"/>
        </w:rPr>
      </w:pPr>
      <w:r>
        <w:rPr>
          <w:rFonts w:ascii="Arial" w:eastAsia="Arial" w:hAnsi="Arial" w:cs="Arial"/>
          <w:b/>
        </w:rPr>
        <w:t xml:space="preserve">Artículo 238A. </w:t>
      </w:r>
      <w:r w:rsidR="00681C5E" w:rsidRPr="00681C5E">
        <w:rPr>
          <w:rFonts w:ascii="Arial" w:eastAsia="Arial" w:hAnsi="Arial" w:cs="Arial"/>
          <w:b/>
          <w:bCs/>
          <w:color w:val="000000"/>
          <w:lang w:eastAsia="ja-JP"/>
        </w:rPr>
        <w:t xml:space="preserve">Descanso remunerado por síntomas menstruales. </w:t>
      </w:r>
      <w:r w:rsidR="00681C5E" w:rsidRPr="00681C5E">
        <w:rPr>
          <w:rFonts w:ascii="Arial" w:eastAsia="Arial" w:hAnsi="Arial" w:cs="Arial"/>
          <w:color w:val="000000"/>
          <w:lang w:eastAsia="ja-JP"/>
        </w:rPr>
        <w:t xml:space="preserve">Las trabajadoras y personas menstruantes, </w:t>
      </w:r>
      <w:r w:rsidR="00681C5E" w:rsidRPr="00681C5E">
        <w:rPr>
          <w:rFonts w:ascii="Arial" w:eastAsia="Arial" w:hAnsi="Arial" w:cs="Arial"/>
          <w:bCs/>
          <w:color w:val="000000"/>
          <w:lang w:eastAsia="ja-JP"/>
        </w:rPr>
        <w:t>que presenten</w:t>
      </w:r>
      <w:r w:rsidR="00681C5E" w:rsidRPr="00681C5E">
        <w:rPr>
          <w:rFonts w:ascii="Arial" w:eastAsia="Arial" w:hAnsi="Arial" w:cs="Arial"/>
          <w:color w:val="000000"/>
          <w:lang w:eastAsia="ja-JP"/>
        </w:rPr>
        <w:t xml:space="preserve"> </w:t>
      </w:r>
      <w:r w:rsidR="00681C5E" w:rsidRPr="00681C5E">
        <w:rPr>
          <w:rFonts w:ascii="Arial" w:eastAsia="Arial" w:hAnsi="Arial" w:cs="Arial"/>
          <w:bCs/>
          <w:color w:val="000000"/>
          <w:lang w:eastAsia="ja-JP"/>
        </w:rPr>
        <w:t xml:space="preserve">ciclos menstruales incapacitantes producidos por una condición de salud diagnosticada, </w:t>
      </w:r>
      <w:r w:rsidR="00681C5E" w:rsidRPr="00681C5E">
        <w:rPr>
          <w:rFonts w:ascii="Arial" w:eastAsia="Arial" w:hAnsi="Arial" w:cs="Arial"/>
          <w:color w:val="000000"/>
          <w:lang w:eastAsia="ja-JP"/>
        </w:rPr>
        <w:t>tienen derecho a una licencia remunerada de un día por mes calendario. Esta licencia remunerada no afectará su ingreso salarial, antigüedad, pago de primas, vacaciones, bonos, incentivos u otro derecho laboral adquirido.</w:t>
      </w:r>
    </w:p>
    <w:p w:rsidR="00681C5E" w:rsidRPr="00681C5E" w:rsidRDefault="00681C5E" w:rsidP="00681C5E">
      <w:pPr>
        <w:spacing w:after="0" w:line="240" w:lineRule="atLeast"/>
        <w:jc w:val="both"/>
        <w:rPr>
          <w:rFonts w:ascii="Arial" w:eastAsia="Arial" w:hAnsi="Arial" w:cs="Arial"/>
          <w:color w:val="000000"/>
          <w:lang w:eastAsia="ja-JP"/>
        </w:rPr>
      </w:pPr>
      <w:r w:rsidRPr="00681C5E">
        <w:rPr>
          <w:rFonts w:ascii="Arial" w:eastAsia="Arial" w:hAnsi="Arial" w:cs="Arial"/>
          <w:color w:val="000000"/>
          <w:lang w:eastAsia="ja-JP"/>
        </w:rPr>
        <w:t>El empleador podrá conceder mayor tiempo de licencia remunerada que los establecidos en el inciso anterior si la trabajadora o persona menstruante presenta un certificado médico en el cual se expongan las razones médicas que justifiquen ese mayor número de días de descansos a los ya establecidos previamente.</w:t>
      </w:r>
    </w:p>
    <w:p w:rsidR="00681C5E" w:rsidRPr="00681C5E" w:rsidRDefault="00681C5E" w:rsidP="00681C5E">
      <w:pPr>
        <w:spacing w:after="0" w:line="240" w:lineRule="atLeast"/>
        <w:jc w:val="both"/>
        <w:rPr>
          <w:rFonts w:ascii="Arial" w:eastAsia="Arial" w:hAnsi="Arial" w:cs="Arial"/>
          <w:color w:val="000000"/>
          <w:lang w:eastAsia="ja-JP"/>
        </w:rPr>
      </w:pPr>
    </w:p>
    <w:p w:rsidR="00681C5E" w:rsidRPr="00681C5E" w:rsidRDefault="00681C5E" w:rsidP="00681C5E">
      <w:pPr>
        <w:spacing w:after="0" w:line="240" w:lineRule="atLeast"/>
        <w:jc w:val="both"/>
        <w:rPr>
          <w:rFonts w:ascii="Arial" w:eastAsia="Arial" w:hAnsi="Arial" w:cs="Arial"/>
          <w:color w:val="000000"/>
          <w:lang w:eastAsia="ja-JP"/>
        </w:rPr>
      </w:pPr>
      <w:r w:rsidRPr="00681C5E">
        <w:rPr>
          <w:rFonts w:ascii="Arial" w:eastAsia="Arial" w:hAnsi="Arial" w:cs="Arial"/>
          <w:color w:val="000000"/>
          <w:lang w:eastAsia="ja-JP"/>
        </w:rPr>
        <w:t>La trabajadora o persona menstruante tiene el derecho a elegir el día en que tomará la licencia a la que hace referencia el presente artículo.</w:t>
      </w:r>
    </w:p>
    <w:p w:rsidR="00681C5E" w:rsidRPr="00681C5E" w:rsidRDefault="00681C5E" w:rsidP="00681C5E">
      <w:pPr>
        <w:spacing w:after="0" w:line="240" w:lineRule="atLeast"/>
        <w:jc w:val="both"/>
        <w:rPr>
          <w:rFonts w:ascii="Arial" w:eastAsia="Arial" w:hAnsi="Arial" w:cs="Arial"/>
          <w:b/>
          <w:bCs/>
          <w:color w:val="000000"/>
          <w:lang w:eastAsia="ja-JP"/>
        </w:rPr>
      </w:pPr>
    </w:p>
    <w:p w:rsidR="00681C5E" w:rsidRPr="00681C5E" w:rsidRDefault="00681C5E" w:rsidP="00681C5E">
      <w:pPr>
        <w:spacing w:after="0" w:line="240" w:lineRule="atLeast"/>
        <w:jc w:val="both"/>
        <w:rPr>
          <w:rFonts w:ascii="Arial" w:eastAsia="Arial" w:hAnsi="Arial" w:cs="Arial"/>
          <w:color w:val="000000"/>
          <w:lang w:eastAsia="ja-JP"/>
        </w:rPr>
      </w:pPr>
      <w:r w:rsidRPr="00681C5E">
        <w:rPr>
          <w:rFonts w:ascii="Arial" w:eastAsia="Arial" w:hAnsi="Arial" w:cs="Arial"/>
          <w:b/>
          <w:bCs/>
          <w:color w:val="000000"/>
          <w:lang w:eastAsia="ja-JP"/>
        </w:rPr>
        <w:t>Parágrafo 1.</w:t>
      </w:r>
      <w:r w:rsidRPr="00681C5E">
        <w:rPr>
          <w:rFonts w:ascii="Arial" w:eastAsia="Arial" w:hAnsi="Arial" w:cs="Arial"/>
          <w:color w:val="000000"/>
          <w:lang w:eastAsia="ja-JP"/>
        </w:rPr>
        <w:t xml:space="preserve"> La trabajadora o persona menstruante, </w:t>
      </w:r>
      <w:r w:rsidRPr="00681C5E">
        <w:rPr>
          <w:rFonts w:ascii="Arial" w:eastAsia="Arial" w:hAnsi="Arial" w:cs="Arial"/>
          <w:bCs/>
          <w:color w:val="000000"/>
          <w:lang w:eastAsia="ja-JP"/>
        </w:rPr>
        <w:t>a las que hace referencia el presente artículo,</w:t>
      </w:r>
      <w:r w:rsidRPr="00681C5E">
        <w:rPr>
          <w:rFonts w:ascii="Arial" w:eastAsia="Arial" w:hAnsi="Arial" w:cs="Arial"/>
          <w:color w:val="000000"/>
          <w:lang w:eastAsia="ja-JP"/>
        </w:rPr>
        <w:t xml:space="preserve"> podrá tomar una nueva licencia en un plazo mínimo de veintiséis (26) días contados a partir del momento en que tomó la licencia menstrual.</w:t>
      </w:r>
    </w:p>
    <w:p w:rsidR="00681C5E" w:rsidRPr="00681C5E" w:rsidRDefault="00681C5E" w:rsidP="00681C5E">
      <w:pPr>
        <w:spacing w:after="0" w:line="240" w:lineRule="atLeast"/>
        <w:jc w:val="both"/>
        <w:rPr>
          <w:rFonts w:ascii="Arial" w:eastAsia="Arial" w:hAnsi="Arial" w:cs="Arial"/>
          <w:b/>
          <w:bCs/>
          <w:color w:val="000000"/>
          <w:lang w:eastAsia="ja-JP"/>
        </w:rPr>
      </w:pPr>
    </w:p>
    <w:p w:rsidR="00681C5E" w:rsidRDefault="00681C5E" w:rsidP="00681C5E">
      <w:pPr>
        <w:spacing w:after="0" w:line="240" w:lineRule="atLeast"/>
        <w:jc w:val="both"/>
        <w:rPr>
          <w:rFonts w:ascii="Arial" w:eastAsia="Arial" w:hAnsi="Arial" w:cs="Arial"/>
          <w:color w:val="000000"/>
          <w:lang w:eastAsia="ja-JP"/>
        </w:rPr>
      </w:pPr>
      <w:r w:rsidRPr="00681C5E">
        <w:rPr>
          <w:rFonts w:ascii="Arial" w:eastAsia="Arial" w:hAnsi="Arial" w:cs="Arial"/>
          <w:b/>
          <w:bCs/>
          <w:color w:val="000000"/>
          <w:lang w:eastAsia="ja-JP"/>
        </w:rPr>
        <w:t>Parágrafo 2</w:t>
      </w:r>
      <w:r w:rsidRPr="00681C5E">
        <w:rPr>
          <w:rFonts w:ascii="Arial" w:eastAsia="Arial" w:hAnsi="Arial" w:cs="Arial"/>
          <w:color w:val="000000"/>
          <w:lang w:eastAsia="ja-JP"/>
        </w:rPr>
        <w:t>. Los beneficios incluidos en este artículo no excluyen a servidores y servidoras públicas.</w:t>
      </w:r>
    </w:p>
    <w:p w:rsidR="00681C5E" w:rsidRDefault="00681C5E" w:rsidP="00681C5E">
      <w:pPr>
        <w:spacing w:after="0" w:line="240" w:lineRule="atLeast"/>
        <w:jc w:val="both"/>
        <w:rPr>
          <w:rFonts w:ascii="Arial" w:eastAsia="Arial" w:hAnsi="Arial" w:cs="Arial"/>
          <w:color w:val="000000"/>
          <w:lang w:eastAsia="ja-JP"/>
        </w:rPr>
      </w:pPr>
    </w:p>
    <w:p w:rsidR="000E7F9D" w:rsidRDefault="000E7F9D" w:rsidP="000E7F9D">
      <w:pPr>
        <w:spacing w:line="240" w:lineRule="atLeast"/>
        <w:jc w:val="both"/>
        <w:rPr>
          <w:rFonts w:ascii="Arial" w:eastAsia="Arial" w:hAnsi="Arial" w:cs="Arial"/>
          <w:b/>
        </w:rPr>
      </w:pPr>
      <w:r>
        <w:rPr>
          <w:rFonts w:ascii="Arial" w:eastAsia="Arial" w:hAnsi="Arial" w:cs="Arial"/>
          <w:b/>
        </w:rPr>
        <w:t xml:space="preserve">Artículo 9°. </w:t>
      </w:r>
      <w:r>
        <w:rPr>
          <w:rFonts w:ascii="Arial" w:eastAsia="Arial" w:hAnsi="Arial" w:cs="Arial"/>
        </w:rPr>
        <w:t>Adiciónese el numeral 6 al artículo 239 del Código Sustantivo de Trabajo, el cual quedará así:</w:t>
      </w:r>
    </w:p>
    <w:p w:rsidR="000E7F9D" w:rsidRDefault="000E7F9D" w:rsidP="000E7F9D">
      <w:pPr>
        <w:spacing w:line="240" w:lineRule="atLeast"/>
        <w:jc w:val="both"/>
        <w:rPr>
          <w:rFonts w:ascii="Arial" w:eastAsia="Arial" w:hAnsi="Arial" w:cs="Arial"/>
          <w:b/>
        </w:rPr>
      </w:pPr>
      <w:r>
        <w:rPr>
          <w:rFonts w:ascii="Arial" w:eastAsia="Arial" w:hAnsi="Arial" w:cs="Arial"/>
          <w:b/>
        </w:rPr>
        <w:t xml:space="preserve">6. </w:t>
      </w:r>
      <w:r>
        <w:rPr>
          <w:rFonts w:ascii="Arial" w:eastAsia="Arial" w:hAnsi="Arial" w:cs="Arial"/>
        </w:rPr>
        <w:t>Ninguna trabajadora o persona menstruante puede ser despedida por motivo de su periodo menstrual y sus síntomas médicamente comprobados y certificados, y notificados al empleador.</w:t>
      </w:r>
    </w:p>
    <w:p w:rsidR="000E7F9D" w:rsidRDefault="000E7F9D" w:rsidP="000E7F9D">
      <w:pPr>
        <w:spacing w:line="240" w:lineRule="atLeast"/>
        <w:jc w:val="both"/>
        <w:rPr>
          <w:rFonts w:ascii="Arial" w:eastAsia="Arial" w:hAnsi="Arial" w:cs="Arial"/>
          <w:b/>
        </w:rPr>
      </w:pPr>
      <w:r>
        <w:rPr>
          <w:rFonts w:ascii="Arial" w:eastAsia="Arial" w:hAnsi="Arial" w:cs="Arial"/>
          <w:b/>
        </w:rPr>
        <w:t xml:space="preserve">Artículo 10. </w:t>
      </w:r>
      <w:r>
        <w:rPr>
          <w:rFonts w:ascii="Arial" w:eastAsia="Arial" w:hAnsi="Arial" w:cs="Arial"/>
        </w:rPr>
        <w:t>Modifíquese el numeral 1 del artículo 241 del Código Sustantivo de Trabajo, el cual quedará así:</w:t>
      </w:r>
    </w:p>
    <w:p w:rsidR="000E7F9D" w:rsidRDefault="000E7F9D" w:rsidP="000E7F9D">
      <w:pPr>
        <w:spacing w:line="240" w:lineRule="atLeast"/>
        <w:jc w:val="both"/>
        <w:rPr>
          <w:rFonts w:ascii="Arial" w:eastAsia="Arial" w:hAnsi="Arial" w:cs="Arial"/>
        </w:rPr>
      </w:pPr>
      <w:r>
        <w:rPr>
          <w:rFonts w:ascii="Arial" w:eastAsia="Arial" w:hAnsi="Arial" w:cs="Arial"/>
        </w:rPr>
        <w:lastRenderedPageBreak/>
        <w:t>1. El empleador está obligado a conservar el puesto de la mujer o la persona trabajadora que esté disfrutando de los descansos remunerados de que trata este capítulo, de licencia por enfermedad motivada por el embarazo, parto o síntomas relacionados con el periodo menstrual.</w:t>
      </w:r>
    </w:p>
    <w:p w:rsidR="000E7F9D" w:rsidRDefault="000E7F9D" w:rsidP="000E7F9D">
      <w:pPr>
        <w:spacing w:line="240" w:lineRule="atLeast"/>
        <w:jc w:val="both"/>
        <w:rPr>
          <w:rFonts w:ascii="Arial" w:eastAsia="Arial" w:hAnsi="Arial" w:cs="Arial"/>
          <w:b/>
        </w:rPr>
      </w:pPr>
      <w:r>
        <w:rPr>
          <w:rFonts w:ascii="Arial" w:eastAsia="Arial" w:hAnsi="Arial" w:cs="Arial"/>
          <w:b/>
        </w:rPr>
        <w:t xml:space="preserve">Artículo 11. </w:t>
      </w:r>
      <w:r>
        <w:rPr>
          <w:rFonts w:ascii="Arial" w:eastAsia="Arial" w:hAnsi="Arial" w:cs="Arial"/>
        </w:rPr>
        <w:t>Modifíquese el artículo 243 del Código Sustantivo de Trabajo el cual quedará así:</w:t>
      </w:r>
    </w:p>
    <w:p w:rsidR="000E7F9D" w:rsidRDefault="000E7F9D" w:rsidP="000E7F9D">
      <w:pPr>
        <w:spacing w:line="240" w:lineRule="atLeast"/>
        <w:jc w:val="both"/>
        <w:rPr>
          <w:rFonts w:ascii="Arial" w:eastAsia="Arial" w:hAnsi="Arial" w:cs="Arial"/>
        </w:rPr>
      </w:pPr>
      <w:r>
        <w:rPr>
          <w:rFonts w:ascii="Arial" w:eastAsia="Arial" w:hAnsi="Arial" w:cs="Arial"/>
          <w:b/>
        </w:rPr>
        <w:t xml:space="preserve">Artículo 243. Incumplimiento. </w:t>
      </w:r>
      <w:r>
        <w:rPr>
          <w:rFonts w:ascii="Arial" w:eastAsia="Arial" w:hAnsi="Arial" w:cs="Arial"/>
        </w:rPr>
        <w:t>En caso de que el empleador no cumpla con la obligación de otorgar los descansos remunerados de que tratan los artículos 236, 237 y 238A, la mujer o persona trabajadora tiene derecho, como indemnización, al doble de la remuneración de los descansos no concedidos.</w:t>
      </w:r>
    </w:p>
    <w:p w:rsidR="000E7F9D" w:rsidRDefault="000E7F9D" w:rsidP="000E7F9D">
      <w:pPr>
        <w:spacing w:line="240" w:lineRule="atLeast"/>
        <w:jc w:val="both"/>
        <w:rPr>
          <w:rFonts w:ascii="Arial" w:eastAsia="Arial" w:hAnsi="Arial" w:cs="Arial"/>
        </w:rPr>
      </w:pPr>
      <w:r>
        <w:rPr>
          <w:rFonts w:ascii="Arial" w:eastAsia="Arial" w:hAnsi="Arial" w:cs="Arial"/>
          <w:b/>
        </w:rPr>
        <w:t>Artículo 12.</w:t>
      </w:r>
      <w:r>
        <w:rPr>
          <w:rFonts w:ascii="Arial" w:eastAsia="Arial" w:hAnsi="Arial" w:cs="Arial"/>
        </w:rPr>
        <w:t xml:space="preserve"> Modifíquese el artículo 244 del Código Sustantivo de Trabajo el cual quedará así: </w:t>
      </w:r>
    </w:p>
    <w:p w:rsidR="000E7F9D" w:rsidRDefault="000E7F9D" w:rsidP="000E7F9D">
      <w:pPr>
        <w:spacing w:line="240" w:lineRule="atLeast"/>
        <w:jc w:val="both"/>
        <w:rPr>
          <w:rFonts w:ascii="Arial" w:eastAsia="Arial" w:hAnsi="Arial" w:cs="Arial"/>
        </w:rPr>
      </w:pPr>
      <w:r>
        <w:rPr>
          <w:rFonts w:ascii="Arial" w:eastAsia="Arial" w:hAnsi="Arial" w:cs="Arial"/>
          <w:b/>
        </w:rPr>
        <w:t>ARTÍCULO 244.</w:t>
      </w:r>
      <w:r>
        <w:rPr>
          <w:rFonts w:ascii="Arial" w:eastAsia="Arial" w:hAnsi="Arial" w:cs="Arial"/>
        </w:rPr>
        <w:t xml:space="preserve"> </w:t>
      </w:r>
      <w:r>
        <w:rPr>
          <w:rFonts w:ascii="Arial" w:eastAsia="Arial" w:hAnsi="Arial" w:cs="Arial"/>
          <w:b/>
        </w:rPr>
        <w:t>CERTIFICADOS MÉDICOS.</w:t>
      </w:r>
      <w:r>
        <w:rPr>
          <w:rFonts w:ascii="Arial" w:eastAsia="Arial" w:hAnsi="Arial" w:cs="Arial"/>
        </w:rPr>
        <w:t xml:space="preserve"> A solicitud de la mujer o persona trabajadora interesada, los certificados médicos necesarios, según este capítulo, deben ser expedidos gratuitamente por los médicos de la Oficina Nacional de Medicina e Higiene Industrial y por los de todas las entidades de Higiene, de carácter oficial, y por las EPS.</w:t>
      </w:r>
    </w:p>
    <w:p w:rsidR="000E7F9D" w:rsidRDefault="000E7F9D" w:rsidP="000E7F9D">
      <w:pPr>
        <w:spacing w:line="240" w:lineRule="atLeast"/>
        <w:jc w:val="both"/>
        <w:rPr>
          <w:rFonts w:ascii="Arial" w:eastAsia="Arial" w:hAnsi="Arial" w:cs="Arial"/>
        </w:rPr>
      </w:pPr>
      <w:r>
        <w:rPr>
          <w:rFonts w:ascii="Arial" w:eastAsia="Arial" w:hAnsi="Arial" w:cs="Arial"/>
          <w:b/>
        </w:rPr>
        <w:t>Parágrafo.</w:t>
      </w:r>
      <w:r>
        <w:rPr>
          <w:rFonts w:ascii="Arial" w:eastAsia="Arial" w:hAnsi="Arial" w:cs="Arial"/>
        </w:rPr>
        <w:t xml:space="preserve"> En caso de solicitar la licencia menstrual remunerada, establecida en el artículo 238A de este capítulo, la mujer o persona menstruante debe contar con el concepto o constancia médica de Seguridad Salud en el Trabajo, respectivamente y/o la valoración oportuna de la </w:t>
      </w:r>
      <w:r w:rsidR="00681C5E">
        <w:rPr>
          <w:rFonts w:ascii="Arial" w:eastAsia="Arial" w:hAnsi="Arial" w:cs="Arial"/>
        </w:rPr>
        <w:t xml:space="preserve">Institución </w:t>
      </w:r>
      <w:r>
        <w:rPr>
          <w:rFonts w:ascii="Arial" w:eastAsia="Arial" w:hAnsi="Arial" w:cs="Arial"/>
        </w:rPr>
        <w:t>Prestadora de Salud.</w:t>
      </w:r>
    </w:p>
    <w:p w:rsidR="000E7F9D" w:rsidRDefault="000E7F9D" w:rsidP="000E7F9D">
      <w:pPr>
        <w:spacing w:line="240" w:lineRule="atLeast"/>
        <w:jc w:val="both"/>
        <w:rPr>
          <w:rFonts w:ascii="Arial" w:eastAsia="Arial" w:hAnsi="Arial" w:cs="Arial"/>
        </w:rPr>
      </w:pPr>
      <w:r>
        <w:rPr>
          <w:rFonts w:ascii="Arial" w:eastAsia="Arial" w:hAnsi="Arial" w:cs="Arial"/>
          <w:b/>
          <w:sz w:val="20"/>
          <w:szCs w:val="20"/>
        </w:rPr>
        <w:t xml:space="preserve">Artículo 13. </w:t>
      </w:r>
      <w:r>
        <w:rPr>
          <w:rFonts w:ascii="Arial" w:eastAsia="Arial" w:hAnsi="Arial" w:cs="Arial"/>
          <w:b/>
        </w:rPr>
        <w:t>Reglamentación sobre constancias médicas relacionadas con menstruación en el ámbito laboral.</w:t>
      </w:r>
      <w:r>
        <w:rPr>
          <w:rFonts w:ascii="Arial" w:eastAsia="Arial" w:hAnsi="Arial" w:cs="Arial"/>
          <w:sz w:val="20"/>
          <w:szCs w:val="20"/>
        </w:rPr>
        <w:t xml:space="preserve"> </w:t>
      </w:r>
      <w:r>
        <w:rPr>
          <w:rFonts w:ascii="Arial" w:eastAsia="Arial" w:hAnsi="Arial" w:cs="Arial"/>
        </w:rPr>
        <w:t>El Ministerio de Salud</w:t>
      </w:r>
      <w:r w:rsidR="00681C5E">
        <w:rPr>
          <w:rFonts w:ascii="Arial" w:eastAsia="Arial" w:hAnsi="Arial" w:cs="Arial"/>
        </w:rPr>
        <w:t xml:space="preserve"> y Protección Social</w:t>
      </w:r>
      <w:r>
        <w:rPr>
          <w:rFonts w:ascii="Arial" w:eastAsia="Arial" w:hAnsi="Arial" w:cs="Arial"/>
        </w:rPr>
        <w:t>, en coordinació</w:t>
      </w:r>
      <w:r w:rsidR="00681C5E">
        <w:rPr>
          <w:rFonts w:ascii="Arial" w:eastAsia="Arial" w:hAnsi="Arial" w:cs="Arial"/>
        </w:rPr>
        <w:t>n con el Ministerio del Trabajo</w:t>
      </w:r>
      <w:r>
        <w:rPr>
          <w:rFonts w:ascii="Arial" w:eastAsia="Arial" w:hAnsi="Arial" w:cs="Arial"/>
        </w:rPr>
        <w:t>, reglamentará en un período no mayor de seis (6) meses a partir de la promulgación de esta ley, los criterios, disposiciones y mecanismos de seguimiento necesarios para la pronta emisión de constancias médicas, permisos y diagnósticos relacionados con la menstruación en el ámbito laboral.</w:t>
      </w:r>
    </w:p>
    <w:p w:rsidR="000E7F9D" w:rsidRDefault="000E7F9D" w:rsidP="000E7F9D">
      <w:pPr>
        <w:spacing w:line="240" w:lineRule="atLeast"/>
        <w:jc w:val="both"/>
        <w:rPr>
          <w:rFonts w:ascii="Arial" w:eastAsia="Arial" w:hAnsi="Arial" w:cs="Arial"/>
          <w:b/>
        </w:rPr>
      </w:pPr>
      <w:r>
        <w:rPr>
          <w:rFonts w:ascii="Arial" w:eastAsia="Arial" w:hAnsi="Arial" w:cs="Arial"/>
        </w:rPr>
        <w:t>Dicha reglamentación deberá garantizar el ejercicio pleno del derecho a la licencia menstrual remunerada por parte de las mujeres y personas menstruantes, en concordancia con las disposiciones contenidas en esta ley. El proceso de regulación contemplará la protección de los derechos laborales de las trabajadoras y personas menstruantes, evitando cualquier forma de discriminación y asegurando la adecuada prestación de servicios médicos oportunos para atender a la población objeto.</w:t>
      </w:r>
    </w:p>
    <w:p w:rsidR="000E7F9D" w:rsidRPr="000E7F9D" w:rsidRDefault="000E7F9D" w:rsidP="000E7F9D">
      <w:pPr>
        <w:pStyle w:val="Sinespaciado"/>
        <w:jc w:val="center"/>
        <w:rPr>
          <w:b/>
        </w:rPr>
      </w:pPr>
      <w:r w:rsidRPr="000E7F9D">
        <w:rPr>
          <w:b/>
        </w:rPr>
        <w:t>TÍTULO III.</w:t>
      </w:r>
    </w:p>
    <w:p w:rsidR="000E7F9D" w:rsidRDefault="000E7F9D" w:rsidP="000E7F9D">
      <w:pPr>
        <w:pStyle w:val="Sinespaciado"/>
        <w:jc w:val="center"/>
        <w:rPr>
          <w:b/>
        </w:rPr>
      </w:pPr>
      <w:r w:rsidRPr="000E7F9D">
        <w:rPr>
          <w:b/>
        </w:rPr>
        <w:t>MEDIDAS PEDAGÓGICAS PARA COMBATIR EL ESTIGMA SOCIAL Y CULTURAL SOBRE LA MENSTRUACIÓN Y GARANTIZAR EL USO EFECTIVO DEL DERECHO A LA LICENCIA MENSTRUAL.</w:t>
      </w:r>
    </w:p>
    <w:p w:rsidR="000E7F9D" w:rsidRPr="000E7F9D" w:rsidRDefault="000E7F9D" w:rsidP="000E7F9D">
      <w:pPr>
        <w:pStyle w:val="Sinespaciado"/>
        <w:jc w:val="center"/>
        <w:rPr>
          <w:rFonts w:ascii="Arial Narrow" w:eastAsia="Arial Narrow" w:hAnsi="Arial Narrow" w:cs="Arial Narrow"/>
          <w:b/>
        </w:rPr>
      </w:pPr>
    </w:p>
    <w:p w:rsidR="000E7F9D" w:rsidRDefault="000E7F9D" w:rsidP="000E7F9D">
      <w:pPr>
        <w:spacing w:line="240" w:lineRule="atLeast"/>
        <w:jc w:val="both"/>
        <w:rPr>
          <w:rFonts w:ascii="Arial" w:eastAsia="Arial" w:hAnsi="Arial" w:cs="Arial"/>
        </w:rPr>
      </w:pPr>
      <w:r>
        <w:rPr>
          <w:rFonts w:ascii="Arial" w:eastAsia="Arial" w:hAnsi="Arial" w:cs="Arial"/>
          <w:b/>
        </w:rPr>
        <w:t xml:space="preserve">Artículo 14. Estrategias pedagógicas para la democratización de la información sobre derechos menstruales. </w:t>
      </w:r>
      <w:r>
        <w:rPr>
          <w:rFonts w:ascii="Arial" w:eastAsia="Arial" w:hAnsi="Arial" w:cs="Arial"/>
        </w:rPr>
        <w:t>El Ministerio de Salud y Protección Social, en coordinación con el Ministerio del Trabajo las secretarías de salud municipales y departamentales, las instituciones educativas y las empresas, ya sean públicas o privadas, son los encargados de adelantar campañas informativas y pedagógicas alrededor de la garantía de los derechos menstruales, la higiene menstrual, la estigmatización de la salud menstrual de las mujeres y personas menstruantes que se encuentren en ese momento puntual de su ciclo menstrual.</w:t>
      </w:r>
    </w:p>
    <w:p w:rsidR="000E7F9D" w:rsidRDefault="000E7F9D" w:rsidP="000E7F9D">
      <w:pPr>
        <w:spacing w:line="240" w:lineRule="atLeast"/>
        <w:jc w:val="both"/>
        <w:rPr>
          <w:rFonts w:ascii="Arial Narrow" w:eastAsia="Arial Narrow" w:hAnsi="Arial Narrow" w:cs="Arial Narrow"/>
        </w:rPr>
      </w:pPr>
      <w:r>
        <w:rPr>
          <w:rFonts w:ascii="Arial" w:eastAsia="Arial" w:hAnsi="Arial" w:cs="Arial"/>
          <w:b/>
        </w:rPr>
        <w:t xml:space="preserve">Parágrafo. </w:t>
      </w:r>
      <w:r>
        <w:rPr>
          <w:rFonts w:ascii="Arial" w:eastAsia="Arial" w:hAnsi="Arial" w:cs="Arial"/>
        </w:rPr>
        <w:t>Las Instituciones de Educación Superior en el marco de su autonomía, podrán adelantar las campañas informativas y pedagógicas propuestas en este artículo.</w:t>
      </w:r>
    </w:p>
    <w:p w:rsidR="000E7F9D" w:rsidRPr="000E7F9D" w:rsidRDefault="000E7F9D" w:rsidP="000E7F9D">
      <w:pPr>
        <w:pStyle w:val="Sinespaciado"/>
        <w:jc w:val="center"/>
        <w:rPr>
          <w:b/>
        </w:rPr>
      </w:pPr>
      <w:r w:rsidRPr="000E7F9D">
        <w:rPr>
          <w:b/>
        </w:rPr>
        <w:lastRenderedPageBreak/>
        <w:t>TÍTULO IV.</w:t>
      </w:r>
    </w:p>
    <w:p w:rsidR="000E7F9D" w:rsidRDefault="000E7F9D" w:rsidP="000E7F9D">
      <w:pPr>
        <w:pStyle w:val="Sinespaciado"/>
        <w:jc w:val="center"/>
        <w:rPr>
          <w:b/>
        </w:rPr>
      </w:pPr>
      <w:r w:rsidRPr="000E7F9D">
        <w:rPr>
          <w:b/>
        </w:rPr>
        <w:t>VIGILANCIA, CONTROL Y SEGUIMIENTO</w:t>
      </w:r>
    </w:p>
    <w:p w:rsidR="000E7F9D" w:rsidRPr="000E7F9D" w:rsidRDefault="000E7F9D" w:rsidP="000E7F9D">
      <w:pPr>
        <w:pStyle w:val="Sinespaciado"/>
        <w:jc w:val="center"/>
        <w:rPr>
          <w:rFonts w:ascii="Arial Narrow" w:eastAsia="Arial Narrow" w:hAnsi="Arial Narrow" w:cs="Arial Narrow"/>
          <w:b/>
        </w:rPr>
      </w:pPr>
    </w:p>
    <w:p w:rsidR="000E7F9D" w:rsidRDefault="000E7F9D" w:rsidP="000E7F9D">
      <w:pPr>
        <w:spacing w:line="240" w:lineRule="atLeast"/>
        <w:jc w:val="both"/>
        <w:rPr>
          <w:rFonts w:ascii="Arial" w:eastAsia="Arial" w:hAnsi="Arial" w:cs="Arial"/>
          <w:b/>
        </w:rPr>
      </w:pPr>
      <w:r>
        <w:rPr>
          <w:rFonts w:ascii="Arial" w:eastAsia="Arial" w:hAnsi="Arial" w:cs="Arial"/>
          <w:b/>
        </w:rPr>
        <w:t xml:space="preserve">Artículo 15. Facultades y competencias. </w:t>
      </w:r>
      <w:r>
        <w:rPr>
          <w:rFonts w:ascii="Arial" w:eastAsia="Arial" w:hAnsi="Arial" w:cs="Arial"/>
        </w:rPr>
        <w:t>El Gobierno nacional, junto con los entes descentralizados, en un término inferior de un (1) año a partir de la promulgación de la ley, reglamentará los mecanismos y planes necesarios para garantizar el goce efectivo del derecho a la licencia menstrual con el fin de prevenir su desuso.</w:t>
      </w:r>
    </w:p>
    <w:p w:rsidR="000E7F9D" w:rsidRDefault="000E7F9D" w:rsidP="000E7F9D">
      <w:pPr>
        <w:spacing w:line="240" w:lineRule="atLeast"/>
        <w:jc w:val="both"/>
        <w:rPr>
          <w:rFonts w:ascii="Arial" w:eastAsia="Arial" w:hAnsi="Arial" w:cs="Arial"/>
        </w:rPr>
      </w:pPr>
      <w:r>
        <w:rPr>
          <w:rFonts w:ascii="Arial" w:eastAsia="Arial" w:hAnsi="Arial" w:cs="Arial"/>
          <w:b/>
        </w:rPr>
        <w:t xml:space="preserve">Parágrafo. </w:t>
      </w:r>
      <w:r>
        <w:rPr>
          <w:rFonts w:ascii="Arial" w:eastAsia="Arial" w:hAnsi="Arial" w:cs="Arial"/>
        </w:rPr>
        <w:t>El Ministerio del Trabajo y la Superintendencia de Salud definirán los mecanismos administrativos para la investigación, vigilancia y sanción de las personas naturales o jurídicas que contravengan esta ley.</w:t>
      </w:r>
    </w:p>
    <w:p w:rsidR="00200734" w:rsidRDefault="00200734" w:rsidP="00200734">
      <w:pPr>
        <w:spacing w:line="240" w:lineRule="atLeast"/>
        <w:jc w:val="both"/>
        <w:rPr>
          <w:rFonts w:ascii="Arial" w:eastAsia="Arial" w:hAnsi="Arial" w:cs="Arial"/>
          <w:color w:val="000000" w:themeColor="text1"/>
        </w:rPr>
      </w:pPr>
      <w:r>
        <w:rPr>
          <w:rFonts w:ascii="Arial" w:eastAsia="Arial" w:hAnsi="Arial" w:cs="Arial"/>
          <w:b/>
        </w:rPr>
        <w:t xml:space="preserve">Artículo 16. </w:t>
      </w:r>
      <w:r w:rsidR="00A95F06">
        <w:rPr>
          <w:rFonts w:ascii="Arial" w:eastAsia="Arial" w:hAnsi="Arial" w:cs="Arial"/>
        </w:rPr>
        <w:t>Adiciónese un artículo nuevo a la Ley 2088 de 2021 el cual quedará así:</w:t>
      </w:r>
      <w:bookmarkStart w:id="0" w:name="_GoBack"/>
      <w:bookmarkEnd w:id="0"/>
      <w:r w:rsidR="00A95F06">
        <w:rPr>
          <w:rFonts w:ascii="Arial" w:eastAsia="Arial" w:hAnsi="Arial" w:cs="Arial"/>
        </w:rPr>
        <w:t xml:space="preserve"> </w:t>
      </w:r>
      <w:r w:rsidRPr="3F8B5EF6">
        <w:rPr>
          <w:rFonts w:ascii="Arial" w:eastAsia="Arial" w:hAnsi="Arial" w:cs="Arial"/>
          <w:b/>
          <w:bCs/>
          <w:color w:val="000000" w:themeColor="text1"/>
        </w:rPr>
        <w:t xml:space="preserve">Permiso de trabajo en casa por síntomas menstruales. </w:t>
      </w:r>
      <w:r w:rsidRPr="3F8B5EF6">
        <w:rPr>
          <w:rFonts w:ascii="Arial" w:eastAsia="Arial" w:hAnsi="Arial" w:cs="Arial"/>
          <w:color w:val="000000" w:themeColor="text1"/>
        </w:rPr>
        <w:t>Las trabajadoras y personas menstruantes tienen derecho a un permiso de trabajo en casa hasta por un máximo de dos (2) días hábiles por cada ciclo menstrual.</w:t>
      </w:r>
    </w:p>
    <w:p w:rsidR="00200734" w:rsidRDefault="00200734" w:rsidP="00200734">
      <w:pPr>
        <w:spacing w:line="240" w:lineRule="atLeast"/>
        <w:jc w:val="both"/>
        <w:rPr>
          <w:rFonts w:ascii="Arial" w:eastAsia="Arial" w:hAnsi="Arial" w:cs="Arial"/>
          <w:color w:val="000000" w:themeColor="text1"/>
        </w:rPr>
      </w:pPr>
      <w:r w:rsidRPr="3F8B5EF6">
        <w:rPr>
          <w:rFonts w:ascii="Arial" w:eastAsia="Arial" w:hAnsi="Arial" w:cs="Arial"/>
          <w:color w:val="000000" w:themeColor="text1"/>
        </w:rPr>
        <w:t xml:space="preserve">Queda a elección propia y exclusivamente de las trabajadoras y personas menstruantes </w:t>
      </w:r>
      <w:r>
        <w:rPr>
          <w:rFonts w:ascii="Arial" w:eastAsia="Arial" w:hAnsi="Arial" w:cs="Arial"/>
          <w:color w:val="000000" w:themeColor="text1"/>
        </w:rPr>
        <w:t>definir en cuál momento del mes usarán el derecho a los dos (2) días del permiso de trabajo en casa.</w:t>
      </w:r>
    </w:p>
    <w:p w:rsidR="00200734" w:rsidRDefault="00200734" w:rsidP="00200734">
      <w:pPr>
        <w:spacing w:line="240" w:lineRule="atLeast"/>
        <w:jc w:val="both"/>
        <w:rPr>
          <w:rFonts w:ascii="Arial" w:eastAsia="Arial" w:hAnsi="Arial" w:cs="Arial"/>
          <w:color w:val="000000" w:themeColor="text1"/>
        </w:rPr>
      </w:pPr>
      <w:r>
        <w:rPr>
          <w:rFonts w:ascii="Arial" w:eastAsia="Arial" w:hAnsi="Arial" w:cs="Arial"/>
          <w:color w:val="000000" w:themeColor="text1"/>
        </w:rPr>
        <w:t>Este permiso aplica para los casos en los que</w:t>
      </w:r>
      <w:r w:rsidRPr="00893A78">
        <w:rPr>
          <w:rFonts w:ascii="Arial" w:eastAsia="Arial" w:hAnsi="Arial" w:cs="Arial"/>
          <w:color w:val="000000" w:themeColor="text1"/>
        </w:rPr>
        <w:t xml:space="preserve"> la labor </w:t>
      </w:r>
      <w:r>
        <w:rPr>
          <w:rFonts w:ascii="Arial" w:eastAsia="Arial" w:hAnsi="Arial" w:cs="Arial"/>
          <w:color w:val="000000" w:themeColor="text1"/>
        </w:rPr>
        <w:t>realizada</w:t>
      </w:r>
      <w:r w:rsidRPr="00893A78">
        <w:rPr>
          <w:rFonts w:ascii="Arial" w:eastAsia="Arial" w:hAnsi="Arial" w:cs="Arial"/>
          <w:color w:val="000000" w:themeColor="text1"/>
        </w:rPr>
        <w:t xml:space="preserve"> pued</w:t>
      </w:r>
      <w:r>
        <w:rPr>
          <w:rFonts w:ascii="Arial" w:eastAsia="Arial" w:hAnsi="Arial" w:cs="Arial"/>
          <w:color w:val="000000" w:themeColor="text1"/>
        </w:rPr>
        <w:t>a</w:t>
      </w:r>
      <w:r w:rsidRPr="00893A78">
        <w:rPr>
          <w:rFonts w:ascii="Arial" w:eastAsia="Arial" w:hAnsi="Arial" w:cs="Arial"/>
          <w:color w:val="000000" w:themeColor="text1"/>
        </w:rPr>
        <w:t xml:space="preserve"> ser ejecutada fuera del lugar habitual de trabajo, sin perjuicio de la adecuada prestación personal del servicio contratado.</w:t>
      </w:r>
    </w:p>
    <w:p w:rsidR="00200734" w:rsidRDefault="00200734" w:rsidP="00200734">
      <w:pPr>
        <w:pStyle w:val="Normal1"/>
        <w:spacing w:line="240" w:lineRule="atLeast"/>
        <w:jc w:val="both"/>
        <w:rPr>
          <w:rFonts w:ascii="Arial" w:eastAsia="Arial" w:hAnsi="Arial" w:cs="Arial"/>
          <w:color w:val="000000" w:themeColor="text1"/>
          <w:sz w:val="22"/>
          <w:szCs w:val="22"/>
        </w:rPr>
      </w:pPr>
      <w:r w:rsidRPr="73AEC5E6">
        <w:rPr>
          <w:rFonts w:ascii="Arial" w:eastAsia="Arial" w:hAnsi="Arial" w:cs="Arial"/>
          <w:b/>
          <w:bCs/>
          <w:color w:val="000000" w:themeColor="text1"/>
          <w:sz w:val="22"/>
          <w:szCs w:val="22"/>
        </w:rPr>
        <w:t>Parágrafo 1.</w:t>
      </w:r>
      <w:r w:rsidRPr="73AEC5E6">
        <w:rPr>
          <w:rFonts w:ascii="Arial" w:eastAsia="Arial" w:hAnsi="Arial" w:cs="Arial"/>
          <w:color w:val="000000" w:themeColor="text1"/>
          <w:sz w:val="22"/>
          <w:szCs w:val="22"/>
        </w:rPr>
        <w:t xml:space="preserve"> La trabajadora o persona menstruante podrá tomar un nuevo permiso de trabajo en casa en un plazo mínimo de veintiséis (26) días contados a partir del momento en que tomó el permiso de trabajo en casa.</w:t>
      </w:r>
    </w:p>
    <w:p w:rsidR="00200734" w:rsidRDefault="00200734" w:rsidP="00200734">
      <w:pPr>
        <w:pStyle w:val="Normal1"/>
        <w:spacing w:line="240" w:lineRule="atLeast"/>
        <w:jc w:val="both"/>
        <w:rPr>
          <w:rFonts w:ascii="Arial" w:eastAsia="Arial" w:hAnsi="Arial" w:cs="Arial"/>
          <w:color w:val="000000" w:themeColor="text1"/>
          <w:sz w:val="22"/>
          <w:szCs w:val="22"/>
        </w:rPr>
      </w:pPr>
    </w:p>
    <w:p w:rsidR="00200734" w:rsidRPr="00200734" w:rsidRDefault="00200734" w:rsidP="00200734">
      <w:pPr>
        <w:spacing w:line="240" w:lineRule="atLeast"/>
        <w:jc w:val="both"/>
        <w:rPr>
          <w:rFonts w:ascii="Arial Narrow" w:eastAsia="Arial Narrow" w:hAnsi="Arial Narrow" w:cs="Arial Narrow"/>
          <w:b/>
        </w:rPr>
      </w:pPr>
      <w:r w:rsidRPr="73AEC5E6">
        <w:rPr>
          <w:rFonts w:ascii="Arial" w:eastAsia="Arial" w:hAnsi="Arial" w:cs="Arial"/>
          <w:b/>
          <w:bCs/>
          <w:color w:val="000000" w:themeColor="text1"/>
        </w:rPr>
        <w:t>Parágrafo 2</w:t>
      </w:r>
      <w:r w:rsidRPr="73AEC5E6">
        <w:rPr>
          <w:rFonts w:ascii="Arial" w:eastAsia="Arial" w:hAnsi="Arial" w:cs="Arial"/>
          <w:color w:val="000000" w:themeColor="text1"/>
        </w:rPr>
        <w:t>. Los beneficios incluidos en este artículo no excluyen a servidores y servidoras públicas.</w:t>
      </w:r>
    </w:p>
    <w:p w:rsidR="000E7F9D" w:rsidRPr="000E7F9D" w:rsidRDefault="000E7F9D" w:rsidP="000E7F9D">
      <w:pPr>
        <w:pStyle w:val="Sinespaciado"/>
        <w:jc w:val="center"/>
        <w:rPr>
          <w:b/>
        </w:rPr>
      </w:pPr>
      <w:r w:rsidRPr="000E7F9D">
        <w:rPr>
          <w:b/>
        </w:rPr>
        <w:t>TÍTULO V.</w:t>
      </w:r>
    </w:p>
    <w:p w:rsidR="000E7F9D" w:rsidRDefault="000E7F9D" w:rsidP="000E7F9D">
      <w:pPr>
        <w:pStyle w:val="Sinespaciado"/>
        <w:jc w:val="center"/>
        <w:rPr>
          <w:b/>
        </w:rPr>
      </w:pPr>
      <w:r w:rsidRPr="000E7F9D">
        <w:rPr>
          <w:b/>
        </w:rPr>
        <w:t>VIGENCIA Y DEROGACIONES</w:t>
      </w:r>
    </w:p>
    <w:p w:rsidR="000E7F9D" w:rsidRPr="000E7F9D" w:rsidRDefault="000E7F9D" w:rsidP="000E7F9D">
      <w:pPr>
        <w:pStyle w:val="Sinespaciado"/>
        <w:jc w:val="center"/>
        <w:rPr>
          <w:rFonts w:ascii="Arial Narrow" w:eastAsia="Arial Narrow" w:hAnsi="Arial Narrow" w:cs="Arial Narrow"/>
          <w:b/>
        </w:rPr>
      </w:pPr>
    </w:p>
    <w:p w:rsidR="000E7F9D" w:rsidRDefault="000E7F9D" w:rsidP="000E7F9D">
      <w:pPr>
        <w:spacing w:line="240" w:lineRule="atLeast"/>
        <w:jc w:val="both"/>
        <w:rPr>
          <w:rFonts w:ascii="Arial Narrow" w:eastAsia="Arial Narrow" w:hAnsi="Arial Narrow" w:cs="Arial Narrow"/>
        </w:rPr>
      </w:pPr>
      <w:r>
        <w:rPr>
          <w:rFonts w:ascii="Arial" w:eastAsia="Arial" w:hAnsi="Arial" w:cs="Arial"/>
          <w:b/>
        </w:rPr>
        <w:t>Artículo 1</w:t>
      </w:r>
      <w:r w:rsidR="00200734">
        <w:rPr>
          <w:rFonts w:ascii="Arial" w:eastAsia="Arial" w:hAnsi="Arial" w:cs="Arial"/>
          <w:b/>
        </w:rPr>
        <w:t>7</w:t>
      </w:r>
      <w:r>
        <w:rPr>
          <w:rFonts w:ascii="Arial" w:eastAsia="Arial" w:hAnsi="Arial" w:cs="Arial"/>
          <w:b/>
        </w:rPr>
        <w:t xml:space="preserve">. Vigencia. </w:t>
      </w:r>
      <w:r>
        <w:rPr>
          <w:rFonts w:ascii="Arial" w:eastAsia="Arial" w:hAnsi="Arial" w:cs="Arial"/>
        </w:rPr>
        <w:t>La presente ley rige desde su promulgación y deroga todas las disposiciones que le sean contrarias.</w:t>
      </w:r>
    </w:p>
    <w:p w:rsidR="002E6C1D" w:rsidRPr="001C6DF6" w:rsidRDefault="00722B7D" w:rsidP="00B13470">
      <w:pPr>
        <w:pStyle w:val="Sinespaciado"/>
      </w:pPr>
      <w:r w:rsidRPr="001C6DF6">
        <w:rPr>
          <w:rFonts w:cs="Arial"/>
          <w:b/>
        </w:rPr>
        <w:cr/>
      </w:r>
      <w:r w:rsidR="002E6C1D" w:rsidRPr="001C6DF6">
        <w:t xml:space="preserve"> </w:t>
      </w:r>
    </w:p>
    <w:p w:rsidR="00F718B4" w:rsidRPr="001C6DF6" w:rsidRDefault="00F718B4" w:rsidP="008A36E1">
      <w:pPr>
        <w:pStyle w:val="Sinespaciado"/>
        <w:rPr>
          <w:rFonts w:cs="Arial"/>
          <w:color w:val="000000"/>
        </w:rPr>
      </w:pPr>
    </w:p>
    <w:p w:rsidR="00F718B4" w:rsidRPr="001C6DF6" w:rsidRDefault="00F718B4" w:rsidP="00FC1DEF">
      <w:pPr>
        <w:pStyle w:val="Sinespaciado"/>
        <w:rPr>
          <w:rFonts w:cs="Arial"/>
          <w:color w:val="000000"/>
        </w:rPr>
      </w:pPr>
    </w:p>
    <w:p w:rsidR="00F718B4" w:rsidRPr="001C6DF6" w:rsidRDefault="00F718B4" w:rsidP="00FC1DEF">
      <w:pPr>
        <w:pStyle w:val="Sinespaciado"/>
        <w:rPr>
          <w:rFonts w:cs="Arial"/>
          <w:color w:val="000000"/>
        </w:rPr>
      </w:pPr>
    </w:p>
    <w:p w:rsidR="0049721E" w:rsidRPr="00200734" w:rsidRDefault="00200734" w:rsidP="00200734">
      <w:pPr>
        <w:pStyle w:val="Sinespaciado"/>
        <w:tabs>
          <w:tab w:val="left" w:pos="5522"/>
        </w:tabs>
        <w:rPr>
          <w:rFonts w:cs="Arial"/>
          <w:color w:val="000000"/>
        </w:rPr>
      </w:pPr>
      <w:r>
        <w:rPr>
          <w:rFonts w:cs="Arial"/>
          <w:b/>
        </w:rPr>
        <w:t>María Fernanda Carrascal Rojas</w:t>
      </w:r>
      <w:r>
        <w:rPr>
          <w:rFonts w:cs="Arial"/>
          <w:b/>
        </w:rPr>
        <w:tab/>
      </w:r>
      <w:r>
        <w:rPr>
          <w:rFonts w:cs="Arial"/>
          <w:b/>
        </w:rPr>
        <w:tab/>
        <w:t>Germán José Gómez López</w:t>
      </w:r>
    </w:p>
    <w:p w:rsidR="004D631D" w:rsidRPr="001C6DF6" w:rsidRDefault="000D59FE" w:rsidP="00200734">
      <w:pPr>
        <w:pStyle w:val="Sinespaciado"/>
        <w:spacing w:line="240" w:lineRule="atLeast"/>
        <w:rPr>
          <w:rFonts w:eastAsia="Arial" w:cs="Arial"/>
          <w:b/>
          <w:color w:val="000000"/>
        </w:rPr>
      </w:pPr>
      <w:r w:rsidRPr="001C6DF6">
        <w:rPr>
          <w:rFonts w:cs="Arial"/>
        </w:rPr>
        <w:t>Representante a la Cámara</w:t>
      </w:r>
      <w:r w:rsidR="00200734">
        <w:rPr>
          <w:rFonts w:cs="Arial"/>
        </w:rPr>
        <w:tab/>
      </w:r>
      <w:r w:rsidR="00200734">
        <w:rPr>
          <w:rFonts w:cs="Arial"/>
        </w:rPr>
        <w:tab/>
      </w:r>
      <w:r w:rsidR="00200734">
        <w:rPr>
          <w:rFonts w:cs="Arial"/>
        </w:rPr>
        <w:tab/>
      </w:r>
      <w:r w:rsidR="00200734">
        <w:rPr>
          <w:rFonts w:cs="Arial"/>
        </w:rPr>
        <w:tab/>
      </w:r>
      <w:r w:rsidR="00200734">
        <w:rPr>
          <w:rFonts w:cs="Arial"/>
        </w:rPr>
        <w:tab/>
      </w:r>
      <w:r w:rsidR="00200734" w:rsidRPr="001C6DF6">
        <w:rPr>
          <w:rFonts w:cs="Arial"/>
        </w:rPr>
        <w:t>Representante a la Cámara</w:t>
      </w:r>
    </w:p>
    <w:sectPr w:rsidR="004D631D" w:rsidRPr="001C6DF6" w:rsidSect="001C6DF6">
      <w:headerReference w:type="default" r:id="rId9"/>
      <w:footerReference w:type="default" r:id="rId10"/>
      <w:type w:val="continuous"/>
      <w:pgSz w:w="12240" w:h="15840" w:code="1"/>
      <w:pgMar w:top="1701" w:right="1134" w:bottom="68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CC0" w:rsidRDefault="00332CC0">
      <w:pPr>
        <w:spacing w:after="0" w:line="240" w:lineRule="auto"/>
      </w:pPr>
      <w:r>
        <w:separator/>
      </w:r>
    </w:p>
  </w:endnote>
  <w:endnote w:type="continuationSeparator" w:id="0">
    <w:p w:rsidR="00332CC0" w:rsidRDefault="0033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200734">
      <w:rPr>
        <w:rFonts w:ascii="Arial" w:hAnsi="Arial" w:cs="Arial"/>
        <w:color w:val="4F81BD" w:themeColor="accent1"/>
        <w:sz w:val="16"/>
        <w:szCs w:val="16"/>
        <w:lang w:val="es-ES"/>
      </w:rPr>
      <w:t>204</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A95F06" w:rsidRPr="00A95F06">
      <w:rPr>
        <w:rFonts w:ascii="Arial" w:hAnsi="Arial" w:cs="Arial"/>
        <w:noProof/>
        <w:color w:val="4F81BD" w:themeColor="accent1"/>
        <w:sz w:val="16"/>
        <w:szCs w:val="16"/>
        <w:lang w:val="es-ES"/>
      </w:rPr>
      <w:t>3</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A95F06" w:rsidRPr="00A95F06">
      <w:rPr>
        <w:rFonts w:ascii="Arial" w:hAnsi="Arial" w:cs="Arial"/>
        <w:noProof/>
        <w:color w:val="4F81BD" w:themeColor="accent1"/>
        <w:sz w:val="16"/>
        <w:szCs w:val="16"/>
        <w:lang w:val="es-ES"/>
      </w:rPr>
      <w:t>4</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CC0" w:rsidRDefault="00332CC0">
      <w:pPr>
        <w:spacing w:after="0" w:line="240" w:lineRule="auto"/>
      </w:pPr>
      <w:r>
        <w:separator/>
      </w:r>
    </w:p>
  </w:footnote>
  <w:footnote w:type="continuationSeparator" w:id="0">
    <w:p w:rsidR="00332CC0" w:rsidRDefault="00332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7B79DA"/>
    <w:multiLevelType w:val="multilevel"/>
    <w:tmpl w:val="DD941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7"/>
  </w:num>
  <w:num w:numId="5">
    <w:abstractNumId w:val="8"/>
  </w:num>
  <w:num w:numId="6">
    <w:abstractNumId w:val="11"/>
  </w:num>
  <w:num w:numId="7">
    <w:abstractNumId w:val="1"/>
  </w:num>
  <w:num w:numId="8">
    <w:abstractNumId w:val="7"/>
  </w:num>
  <w:num w:numId="9">
    <w:abstractNumId w:val="21"/>
  </w:num>
  <w:num w:numId="10">
    <w:abstractNumId w:val="13"/>
  </w:num>
  <w:num w:numId="11">
    <w:abstractNumId w:val="3"/>
  </w:num>
  <w:num w:numId="12">
    <w:abstractNumId w:val="22"/>
  </w:num>
  <w:num w:numId="13">
    <w:abstractNumId w:val="18"/>
  </w:num>
  <w:num w:numId="14">
    <w:abstractNumId w:val="20"/>
  </w:num>
  <w:num w:numId="15">
    <w:abstractNumId w:val="16"/>
  </w:num>
  <w:num w:numId="16">
    <w:abstractNumId w:val="6"/>
  </w:num>
  <w:num w:numId="17">
    <w:abstractNumId w:val="14"/>
  </w:num>
  <w:num w:numId="18">
    <w:abstractNumId w:val="4"/>
  </w:num>
  <w:num w:numId="19">
    <w:abstractNumId w:val="12"/>
  </w:num>
  <w:num w:numId="20">
    <w:abstractNumId w:val="23"/>
  </w:num>
  <w:num w:numId="21">
    <w:abstractNumId w:val="19"/>
  </w:num>
  <w:num w:numId="22">
    <w:abstractNumId w:val="0"/>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43276"/>
    <w:rsid w:val="000D4049"/>
    <w:rsid w:val="000D59FE"/>
    <w:rsid w:val="000E7F9D"/>
    <w:rsid w:val="000F3249"/>
    <w:rsid w:val="000F3F41"/>
    <w:rsid w:val="00102AC9"/>
    <w:rsid w:val="00106067"/>
    <w:rsid w:val="001303C3"/>
    <w:rsid w:val="00134E23"/>
    <w:rsid w:val="00141A7E"/>
    <w:rsid w:val="00145732"/>
    <w:rsid w:val="001826C3"/>
    <w:rsid w:val="00193E1C"/>
    <w:rsid w:val="001B1C28"/>
    <w:rsid w:val="001B6E7B"/>
    <w:rsid w:val="001C10AB"/>
    <w:rsid w:val="001C6DF6"/>
    <w:rsid w:val="00200734"/>
    <w:rsid w:val="00217B1E"/>
    <w:rsid w:val="00227978"/>
    <w:rsid w:val="00245986"/>
    <w:rsid w:val="00273C01"/>
    <w:rsid w:val="00290644"/>
    <w:rsid w:val="002A1BAF"/>
    <w:rsid w:val="002E6C1D"/>
    <w:rsid w:val="00330383"/>
    <w:rsid w:val="00332B24"/>
    <w:rsid w:val="00332CC0"/>
    <w:rsid w:val="00344B4D"/>
    <w:rsid w:val="00375224"/>
    <w:rsid w:val="00392FE1"/>
    <w:rsid w:val="003B3F8A"/>
    <w:rsid w:val="003C3541"/>
    <w:rsid w:val="003C5D20"/>
    <w:rsid w:val="003D08DE"/>
    <w:rsid w:val="00401837"/>
    <w:rsid w:val="0045511D"/>
    <w:rsid w:val="00484475"/>
    <w:rsid w:val="0049721E"/>
    <w:rsid w:val="004B0124"/>
    <w:rsid w:val="004D631D"/>
    <w:rsid w:val="004F0BC8"/>
    <w:rsid w:val="005004BD"/>
    <w:rsid w:val="00523CF6"/>
    <w:rsid w:val="00533F5F"/>
    <w:rsid w:val="00545AF9"/>
    <w:rsid w:val="0057061D"/>
    <w:rsid w:val="005970FF"/>
    <w:rsid w:val="005B79B2"/>
    <w:rsid w:val="006020FC"/>
    <w:rsid w:val="0066551C"/>
    <w:rsid w:val="00676A02"/>
    <w:rsid w:val="00681C5E"/>
    <w:rsid w:val="006A6E00"/>
    <w:rsid w:val="006A6E52"/>
    <w:rsid w:val="006D531F"/>
    <w:rsid w:val="006E594C"/>
    <w:rsid w:val="00703BB5"/>
    <w:rsid w:val="007202B6"/>
    <w:rsid w:val="00722B7D"/>
    <w:rsid w:val="00751A35"/>
    <w:rsid w:val="00767847"/>
    <w:rsid w:val="00780935"/>
    <w:rsid w:val="00793F4D"/>
    <w:rsid w:val="007D2959"/>
    <w:rsid w:val="007D3C92"/>
    <w:rsid w:val="007F0D11"/>
    <w:rsid w:val="0083265E"/>
    <w:rsid w:val="00856BE4"/>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95F06"/>
    <w:rsid w:val="00A9718B"/>
    <w:rsid w:val="00AA5167"/>
    <w:rsid w:val="00AC09C4"/>
    <w:rsid w:val="00AC2952"/>
    <w:rsid w:val="00AF4493"/>
    <w:rsid w:val="00AF47C1"/>
    <w:rsid w:val="00B13470"/>
    <w:rsid w:val="00B31264"/>
    <w:rsid w:val="00B4204B"/>
    <w:rsid w:val="00B47081"/>
    <w:rsid w:val="00B57363"/>
    <w:rsid w:val="00BA2504"/>
    <w:rsid w:val="00BA6354"/>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787B"/>
    <w:rsid w:val="00DC1FF5"/>
    <w:rsid w:val="00E02D4A"/>
    <w:rsid w:val="00E2082D"/>
    <w:rsid w:val="00E27292"/>
    <w:rsid w:val="00EB3579"/>
    <w:rsid w:val="00EF5B1B"/>
    <w:rsid w:val="00F023D6"/>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64E2"/>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 w:type="paragraph" w:customStyle="1" w:styleId="Normal1">
    <w:name w:val="Normal1"/>
    <w:qFormat/>
    <w:rsid w:val="00200734"/>
    <w:pPr>
      <w:spacing w:after="0"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26234B-3352-40A7-80AD-D92F64F0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1629</Words>
  <Characters>8964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2022-11-28T15:09:00Z</cp:lastPrinted>
  <dcterms:created xsi:type="dcterms:W3CDTF">2025-04-02T21:35:00Z</dcterms:created>
  <dcterms:modified xsi:type="dcterms:W3CDTF">2025-04-08T20:30:00Z</dcterms:modified>
</cp:coreProperties>
</file>